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1003C5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3698491" r:id="rId6"/>
        </w:obje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F74A0" w:rsidRDefault="00BD5993" w:rsidP="00CF534B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A346F7">
        <w:rPr>
          <w:sz w:val="26"/>
          <w:szCs w:val="26"/>
        </w:rPr>
        <w:t xml:space="preserve">: Ergy Combustíveis </w:t>
      </w:r>
      <w:r w:rsidR="00C13A89">
        <w:rPr>
          <w:sz w:val="26"/>
          <w:szCs w:val="26"/>
        </w:rPr>
        <w:t>________________________________________________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9"/>
        <w:gridCol w:w="3639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</w:t>
            </w:r>
            <w:r w:rsidR="008C3D05">
              <w:rPr>
                <w:rFonts w:cs="Arial"/>
                <w:color w:val="000000"/>
                <w:szCs w:val="24"/>
              </w:rPr>
              <w:t>X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4A401B">
        <w:trPr>
          <w:trHeight w:val="330"/>
        </w:trPr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2"/>
                <w:szCs w:val="22"/>
              </w:rPr>
            </w:pPr>
            <w:r w:rsidRPr="006761B3">
              <w:rPr>
                <w:rFonts w:ascii="Arial" w:hAnsi="Arial" w:cs="Arial"/>
                <w:bCs/>
                <w:sz w:val="22"/>
                <w:szCs w:val="22"/>
              </w:rPr>
              <w:t>ASSUNTO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2"/>
                <w:szCs w:val="22"/>
              </w:rPr>
            </w:pPr>
            <w:r w:rsidRPr="006761B3">
              <w:rPr>
                <w:rFonts w:ascii="Arial" w:hAnsi="Arial" w:cs="Arial"/>
                <w:bCs/>
                <w:sz w:val="22"/>
                <w:szCs w:val="22"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2"/>
                <w:szCs w:val="22"/>
              </w:rPr>
            </w:pPr>
            <w:r w:rsidRPr="006761B3">
              <w:rPr>
                <w:rFonts w:ascii="Arial" w:hAnsi="Arial" w:cs="Arial"/>
                <w:bCs/>
                <w:sz w:val="22"/>
                <w:szCs w:val="22"/>
              </w:rPr>
              <w:t>JUSTIFICATIVA</w:t>
            </w:r>
          </w:p>
        </w:tc>
      </w:tr>
      <w:tr w:rsidR="00C13A89" w:rsidTr="004A401B">
        <w:trPr>
          <w:trHeight w:val="568"/>
        </w:trPr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2"/>
                <w:szCs w:val="22"/>
              </w:rPr>
            </w:pPr>
            <w:r w:rsidRPr="006761B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:rsidR="00C13A89" w:rsidRDefault="00C13A89" w:rsidP="000303C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61B3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8C3D05" w:rsidRPr="006761B3">
              <w:rPr>
                <w:rFonts w:ascii="Arial" w:hAnsi="Arial" w:cs="Arial"/>
                <w:b/>
                <w:bCs/>
                <w:sz w:val="22"/>
                <w:szCs w:val="22"/>
              </w:rPr>
              <w:t>TPC-03</w:t>
            </w:r>
          </w:p>
          <w:p w:rsidR="007D2CDE" w:rsidRDefault="007D2CDE" w:rsidP="000303C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401B">
              <w:rPr>
                <w:rFonts w:ascii="Arial" w:hAnsi="Arial" w:cs="Arial"/>
                <w:bCs/>
                <w:sz w:val="22"/>
                <w:szCs w:val="22"/>
              </w:rPr>
              <w:t>Vedação da comercialização direta de produt</w:t>
            </w:r>
            <w:r w:rsidR="004A401B" w:rsidRPr="004A401B">
              <w:rPr>
                <w:rFonts w:ascii="Arial" w:hAnsi="Arial" w:cs="Arial"/>
                <w:bCs/>
                <w:sz w:val="22"/>
                <w:szCs w:val="22"/>
              </w:rPr>
              <w:t>ores e importadores para revendedores</w:t>
            </w:r>
          </w:p>
          <w:p w:rsidR="004A401B" w:rsidRPr="004A401B" w:rsidRDefault="004A401B" w:rsidP="000303C4">
            <w:pPr>
              <w:rPr>
                <w:rFonts w:ascii="Arial" w:eastAsia="Arial Unicode MS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6761B3">
              <w:rPr>
                <w:rFonts w:ascii="Arial" w:hAnsi="Arial" w:cs="Arial"/>
                <w:sz w:val="22"/>
                <w:szCs w:val="22"/>
              </w:rPr>
              <w:t>ermitir que produtores de álcool vendam diretamente aos postos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4A401B" w:rsidRDefault="004A401B" w:rsidP="004A401B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A401B">
              <w:rPr>
                <w:rFonts w:ascii="Arial" w:hAnsi="Arial" w:cs="Arial"/>
                <w:sz w:val="22"/>
                <w:szCs w:val="22"/>
              </w:rPr>
              <w:t xml:space="preserve">       E</w:t>
            </w:r>
            <w:r>
              <w:rPr>
                <w:rFonts w:ascii="Arial" w:hAnsi="Arial" w:cs="Arial"/>
                <w:sz w:val="22"/>
                <w:szCs w:val="22"/>
              </w:rPr>
              <w:t>xtremamente Contra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97006" w:rsidRPr="006761B3" w:rsidRDefault="008C3D05" w:rsidP="000303C4">
            <w:pPr>
              <w:rPr>
                <w:rFonts w:ascii="Arial" w:hAnsi="Arial" w:cs="Arial"/>
                <w:sz w:val="22"/>
                <w:szCs w:val="22"/>
              </w:rPr>
            </w:pPr>
            <w:r w:rsidRPr="006761B3">
              <w:rPr>
                <w:rFonts w:ascii="Arial" w:hAnsi="Arial" w:cs="Arial"/>
                <w:b/>
                <w:sz w:val="22"/>
                <w:szCs w:val="22"/>
              </w:rPr>
              <w:t>EXTREMAMENTE CONTRA</w:t>
            </w:r>
            <w:r w:rsidRPr="006761B3">
              <w:rPr>
                <w:rFonts w:ascii="Arial" w:hAnsi="Arial" w:cs="Arial"/>
                <w:sz w:val="22"/>
                <w:szCs w:val="22"/>
              </w:rPr>
              <w:t xml:space="preserve">. Tal medida permitirá o aumento da </w:t>
            </w:r>
            <w:r w:rsidRPr="006761B3">
              <w:rPr>
                <w:rFonts w:ascii="Arial" w:hAnsi="Arial" w:cs="Arial"/>
                <w:b/>
                <w:sz w:val="22"/>
                <w:szCs w:val="22"/>
              </w:rPr>
              <w:t>sonegação</w:t>
            </w:r>
            <w:r w:rsidRPr="006761B3">
              <w:rPr>
                <w:rFonts w:ascii="Arial" w:hAnsi="Arial" w:cs="Arial"/>
                <w:sz w:val="22"/>
                <w:szCs w:val="22"/>
              </w:rPr>
              <w:t xml:space="preserve"> entre os agentes, </w:t>
            </w:r>
            <w:r w:rsidRPr="006761B3">
              <w:rPr>
                <w:rFonts w:ascii="Arial" w:hAnsi="Arial" w:cs="Arial"/>
                <w:b/>
                <w:sz w:val="22"/>
                <w:szCs w:val="22"/>
              </w:rPr>
              <w:t>diminuirá</w:t>
            </w:r>
            <w:r w:rsidRPr="006761B3">
              <w:rPr>
                <w:rFonts w:ascii="Arial" w:hAnsi="Arial" w:cs="Arial"/>
                <w:sz w:val="22"/>
                <w:szCs w:val="22"/>
              </w:rPr>
              <w:t xml:space="preserve"> o controle de </w:t>
            </w:r>
            <w:r w:rsidRPr="006761B3">
              <w:rPr>
                <w:rFonts w:ascii="Arial" w:hAnsi="Arial" w:cs="Arial"/>
                <w:b/>
                <w:sz w:val="22"/>
                <w:szCs w:val="22"/>
              </w:rPr>
              <w:t>qualidade</w:t>
            </w:r>
            <w:r w:rsidRPr="006761B3">
              <w:rPr>
                <w:rFonts w:ascii="Arial" w:hAnsi="Arial" w:cs="Arial"/>
                <w:sz w:val="22"/>
                <w:szCs w:val="22"/>
              </w:rPr>
              <w:t xml:space="preserve"> do etanol produzido na usina até a chegada no consumidor final. Também, vale ressaltar que bilhões de reais já foram investidos em “pools de combustíveis” e caminhões para atender a necessidade da forma que </w:t>
            </w:r>
            <w:r w:rsidR="00A346F7" w:rsidRPr="006761B3">
              <w:rPr>
                <w:rFonts w:ascii="Arial" w:hAnsi="Arial" w:cs="Arial"/>
                <w:sz w:val="22"/>
                <w:szCs w:val="22"/>
              </w:rPr>
              <w:t>está</w:t>
            </w:r>
            <w:r w:rsidRPr="006761B3">
              <w:rPr>
                <w:rFonts w:ascii="Arial" w:hAnsi="Arial" w:cs="Arial"/>
                <w:sz w:val="22"/>
                <w:szCs w:val="22"/>
              </w:rPr>
              <w:t xml:space="preserve"> cadeia logística está estruturada. Tal alteração inviabilizará os investimentos já feitos, trazendo mais insegurança jurídica e financeira ao setor, espantando novos investimentos que poderiam trazer mais economia ao consumidor final</w:t>
            </w:r>
          </w:p>
          <w:p w:rsidR="00197006" w:rsidRPr="006761B3" w:rsidRDefault="00197006" w:rsidP="000303C4">
            <w:pPr>
              <w:rPr>
                <w:rFonts w:ascii="Arial" w:hAnsi="Arial" w:cs="Arial"/>
                <w:sz w:val="22"/>
                <w:szCs w:val="22"/>
              </w:rPr>
            </w:pPr>
          </w:p>
          <w:p w:rsidR="00197006" w:rsidRPr="006761B3" w:rsidRDefault="00197006" w:rsidP="00197006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6761B3">
              <w:rPr>
                <w:rFonts w:ascii="Arial" w:hAnsi="Arial" w:cs="Arial"/>
                <w:sz w:val="22"/>
                <w:szCs w:val="22"/>
              </w:rPr>
              <w:t>Lembrando que hoje existe uma grande desvantagem na competição entre distribuidoras de combustível com relação ao produto etanol, onde há varias distribuidoras de fachadas que compram e vendem este etanol sem nota fiscal, sem controle de qualidade, com pouca fiscalização e muita sonegação, desta forma prejudicando a competição saudável contra outras distribuidoras legais.</w:t>
            </w:r>
          </w:p>
        </w:tc>
      </w:tr>
      <w:tr w:rsidR="00C13A89" w:rsidTr="004A401B">
        <w:trPr>
          <w:trHeight w:val="704"/>
        </w:trPr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401B" w:rsidRPr="004A401B" w:rsidRDefault="004A401B" w:rsidP="000303C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401B">
              <w:rPr>
                <w:rFonts w:ascii="Arial" w:hAnsi="Arial" w:cs="Arial"/>
                <w:b/>
                <w:sz w:val="22"/>
                <w:szCs w:val="22"/>
              </w:rPr>
              <w:lastRenderedPageBreak/>
              <w:t>TPC-03</w:t>
            </w:r>
            <w:r w:rsidR="00C13A89" w:rsidRPr="004A401B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  <w:p w:rsidR="004A401B" w:rsidRDefault="004A401B" w:rsidP="000303C4">
            <w:pPr>
              <w:rPr>
                <w:rFonts w:ascii="Arial" w:hAnsi="Arial" w:cs="Arial"/>
                <w:sz w:val="22"/>
                <w:szCs w:val="22"/>
              </w:rPr>
            </w:pPr>
          </w:p>
          <w:p w:rsidR="00C13A89" w:rsidRPr="006761B3" w:rsidRDefault="00263F19" w:rsidP="000303C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6761B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Vedação da verticalização direta e indireta</w:t>
            </w:r>
          </w:p>
          <w:p w:rsidR="00C13A89" w:rsidRPr="006761B3" w:rsidRDefault="00C13A89" w:rsidP="000303C4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6761B3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263F19" w:rsidP="00263F19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Manutenção da vedação da verticalização direta e indireta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263F19" w:rsidP="009A164E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Manter o atual sistema de regulação da comercialização</w:t>
            </w:r>
            <w:r w:rsidR="008C3D05" w:rsidRPr="006761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de combustíveis. </w:t>
            </w:r>
            <w:r w:rsidR="008C3D05" w:rsidRPr="006761B3">
              <w:rPr>
                <w:rFonts w:ascii="Arial" w:hAnsi="Arial" w:cs="Arial"/>
                <w:sz w:val="22"/>
                <w:szCs w:val="22"/>
              </w:rPr>
              <w:t xml:space="preserve">Para cada tipo de cliente exige um tipo de atendimento e estrutura necessária para garantir este atendimento. </w:t>
            </w:r>
            <w:r w:rsidR="00627008" w:rsidRPr="006761B3">
              <w:rPr>
                <w:rFonts w:ascii="Arial" w:hAnsi="Arial" w:cs="Arial"/>
                <w:sz w:val="22"/>
                <w:szCs w:val="22"/>
              </w:rPr>
              <w:t xml:space="preserve">O mercado da forma que está é bem competitivo e se </w:t>
            </w:r>
            <w:r w:rsidRPr="006761B3">
              <w:rPr>
                <w:rFonts w:ascii="Arial" w:hAnsi="Arial" w:cs="Arial"/>
                <w:sz w:val="22"/>
                <w:szCs w:val="22"/>
              </w:rPr>
              <w:t>autorregula</w:t>
            </w:r>
            <w:r w:rsidR="009A164E">
              <w:rPr>
                <w:rFonts w:ascii="Arial" w:hAnsi="Arial" w:cs="Arial"/>
                <w:sz w:val="22"/>
                <w:szCs w:val="22"/>
              </w:rPr>
              <w:t xml:space="preserve">. Uma alteração </w:t>
            </w:r>
            <w:r w:rsidR="00627008" w:rsidRPr="006761B3">
              <w:rPr>
                <w:rFonts w:ascii="Arial" w:hAnsi="Arial" w:cs="Arial"/>
                <w:sz w:val="22"/>
                <w:szCs w:val="22"/>
              </w:rPr>
              <w:t xml:space="preserve">“pequena” que traria mais competição do mercado, seria ter mais autonomia da compra do combustível por partes das distribuidoras. Hoje </w:t>
            </w:r>
            <w:r w:rsidRPr="006761B3">
              <w:rPr>
                <w:rFonts w:ascii="Arial" w:hAnsi="Arial" w:cs="Arial"/>
                <w:sz w:val="22"/>
                <w:szCs w:val="22"/>
              </w:rPr>
              <w:t>as distribuidoras têm</w:t>
            </w:r>
            <w:r w:rsidR="00627008" w:rsidRPr="006761B3">
              <w:rPr>
                <w:rFonts w:ascii="Arial" w:hAnsi="Arial" w:cs="Arial"/>
                <w:sz w:val="22"/>
                <w:szCs w:val="22"/>
              </w:rPr>
              <w:t xml:space="preserve"> que comprar da refinaria ou da trading. Porém, </w:t>
            </w:r>
            <w:r w:rsidR="009A164E" w:rsidRPr="006761B3">
              <w:rPr>
                <w:rFonts w:ascii="Arial" w:hAnsi="Arial" w:cs="Arial"/>
                <w:sz w:val="22"/>
                <w:szCs w:val="22"/>
              </w:rPr>
              <w:t>as tradings não têm</w:t>
            </w:r>
            <w:r w:rsidR="00627008" w:rsidRPr="006761B3">
              <w:rPr>
                <w:rFonts w:ascii="Arial" w:hAnsi="Arial" w:cs="Arial"/>
                <w:sz w:val="22"/>
                <w:szCs w:val="22"/>
              </w:rPr>
              <w:t xml:space="preserve"> a transparência que precisam para importar grandes volumes, pois se fizerem isso, sofre ação de dumping por parte da refinaria Petrobras. O que falta para trazer mais competitividade ao setor como um todo, é uma regra clara de precificação por parte da Petrobras para que os demais agentes possam importar e vender o combustível conforme regras de precificação da gigante Petrobras mais claras, evitando assim que a Petrobras os “esmague” quando quiserem.</w:t>
            </w:r>
          </w:p>
        </w:tc>
      </w:tr>
      <w:tr w:rsidR="00C13A89" w:rsidTr="004A401B">
        <w:trPr>
          <w:trHeight w:val="670"/>
        </w:trPr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C13A89" w:rsidP="000303C4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6761B3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  <w:p w:rsidR="00C13A89" w:rsidRDefault="00C13A89" w:rsidP="000303C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61B3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627008" w:rsidRPr="006761B3">
              <w:rPr>
                <w:rFonts w:ascii="Arial" w:hAnsi="Arial" w:cs="Arial"/>
                <w:b/>
                <w:bCs/>
                <w:sz w:val="22"/>
                <w:szCs w:val="22"/>
              </w:rPr>
              <w:t>TPC-03</w:t>
            </w:r>
          </w:p>
          <w:p w:rsidR="004A401B" w:rsidRPr="004A401B" w:rsidRDefault="004A401B" w:rsidP="000303C4">
            <w:pPr>
              <w:rPr>
                <w:rFonts w:ascii="Arial" w:eastAsia="Arial Unicode MS" w:hAnsi="Arial" w:cs="Arial"/>
                <w:bCs/>
                <w:sz w:val="22"/>
                <w:szCs w:val="22"/>
              </w:rPr>
            </w:pPr>
            <w:r w:rsidRPr="004A401B">
              <w:rPr>
                <w:rFonts w:ascii="Arial" w:hAnsi="Arial" w:cs="Arial"/>
                <w:bCs/>
                <w:sz w:val="22"/>
                <w:szCs w:val="22"/>
              </w:rPr>
              <w:t>Vedação da comercialização direta de produtores e importadores para revendedores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C13A89" w:rsidP="004A401B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6761B3">
              <w:rPr>
                <w:rFonts w:ascii="Arial" w:hAnsi="Arial" w:cs="Arial"/>
                <w:sz w:val="22"/>
                <w:szCs w:val="22"/>
              </w:rPr>
              <w:t> </w:t>
            </w:r>
            <w:r w:rsidR="004A401B">
              <w:rPr>
                <w:rFonts w:ascii="Arial" w:hAnsi="Arial" w:cs="Arial"/>
                <w:sz w:val="22"/>
                <w:szCs w:val="22"/>
              </w:rPr>
              <w:t>E</w:t>
            </w:r>
            <w:r w:rsidR="00627008" w:rsidRPr="006761B3">
              <w:rPr>
                <w:rFonts w:ascii="Arial" w:hAnsi="Arial" w:cs="Arial"/>
                <w:sz w:val="22"/>
                <w:szCs w:val="22"/>
              </w:rPr>
              <w:t>xtinguir a vedação à importação de combustíveis pelas distribuidoras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627008" w:rsidP="000303C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61B3">
              <w:rPr>
                <w:rFonts w:ascii="Arial" w:hAnsi="Arial" w:cs="Arial"/>
                <w:b/>
                <w:sz w:val="22"/>
                <w:szCs w:val="22"/>
              </w:rPr>
              <w:t xml:space="preserve">A FAVOR. </w:t>
            </w:r>
            <w:r w:rsidRPr="006761B3">
              <w:rPr>
                <w:rFonts w:ascii="Arial" w:hAnsi="Arial" w:cs="Arial"/>
                <w:sz w:val="22"/>
                <w:szCs w:val="22"/>
              </w:rPr>
              <w:t>Que as distribuidoras possam importar com regras claras conforme descrito acima</w:t>
            </w:r>
          </w:p>
        </w:tc>
      </w:tr>
      <w:tr w:rsidR="00C13A89" w:rsidTr="004A401B">
        <w:trPr>
          <w:trHeight w:val="636"/>
        </w:trPr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C13A89" w:rsidP="000303C4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6761B3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  <w:p w:rsidR="00C13A89" w:rsidRDefault="00C13A89" w:rsidP="000303C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61B3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DF4FC3">
              <w:rPr>
                <w:rFonts w:ascii="Arial" w:hAnsi="Arial" w:cs="Arial"/>
                <w:b/>
                <w:bCs/>
                <w:sz w:val="22"/>
                <w:szCs w:val="22"/>
              </w:rPr>
              <w:t>TPC-04</w:t>
            </w:r>
            <w:bookmarkStart w:id="0" w:name="_GoBack"/>
            <w:bookmarkEnd w:id="0"/>
            <w:r w:rsidR="00DF4FC3">
              <w:rPr>
                <w:rFonts w:ascii="Arial" w:hAnsi="Arial" w:cs="Arial"/>
                <w:b/>
                <w:bCs/>
                <w:sz w:val="22"/>
                <w:szCs w:val="22"/>
              </w:rPr>
              <w:t>. Defesa do consumidor</w:t>
            </w:r>
          </w:p>
          <w:p w:rsidR="00DF4FC3" w:rsidRPr="006761B3" w:rsidRDefault="00DF4FC3" w:rsidP="000303C4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6761B3">
              <w:rPr>
                <w:rFonts w:ascii="Arial" w:hAnsi="Arial" w:cs="Arial"/>
                <w:sz w:val="22"/>
                <w:szCs w:val="22"/>
              </w:rPr>
              <w:t>primorar a disponibilidade de informação sobre a comercialização de combustíveis para o aperfeiçoamento da inteligência na repressão à conduta colusiva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C13A89" w:rsidP="00DF4FC3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6761B3">
              <w:rPr>
                <w:rFonts w:ascii="Arial" w:hAnsi="Arial" w:cs="Arial"/>
                <w:sz w:val="22"/>
                <w:szCs w:val="22"/>
              </w:rPr>
              <w:t> </w:t>
            </w:r>
            <w:r w:rsidR="00DF4FC3">
              <w:rPr>
                <w:rFonts w:ascii="Arial" w:hAnsi="Arial" w:cs="Arial"/>
                <w:sz w:val="22"/>
                <w:szCs w:val="22"/>
              </w:rPr>
              <w:t>A favor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627008" w:rsidP="000303C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6761B3">
              <w:rPr>
                <w:rFonts w:ascii="Arial" w:hAnsi="Arial" w:cs="Arial"/>
                <w:b/>
                <w:sz w:val="22"/>
                <w:szCs w:val="22"/>
              </w:rPr>
              <w:t xml:space="preserve">EXTREMAMENTE A FAVOR. </w:t>
            </w:r>
            <w:r w:rsidRPr="006761B3">
              <w:rPr>
                <w:rFonts w:ascii="Arial" w:hAnsi="Arial" w:cs="Arial"/>
                <w:sz w:val="22"/>
                <w:szCs w:val="22"/>
              </w:rPr>
              <w:t xml:space="preserve">Quanto mais informação mais transparente ficará a relação com todos os elos da cadeia. </w:t>
            </w:r>
          </w:p>
        </w:tc>
      </w:tr>
      <w:tr w:rsidR="00C13A89" w:rsidTr="004A401B">
        <w:trPr>
          <w:trHeight w:val="607"/>
        </w:trPr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C13A89" w:rsidP="000303C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6761B3">
              <w:rPr>
                <w:rFonts w:ascii="Arial" w:hAnsi="Arial" w:cs="Arial"/>
                <w:sz w:val="22"/>
                <w:szCs w:val="22"/>
              </w:rPr>
              <w:t> </w:t>
            </w:r>
          </w:p>
          <w:p w:rsidR="00C13A89" w:rsidRDefault="00C13A89" w:rsidP="000303C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61B3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197006" w:rsidRPr="006761B3">
              <w:rPr>
                <w:rFonts w:ascii="Arial" w:hAnsi="Arial" w:cs="Arial"/>
                <w:b/>
                <w:bCs/>
                <w:sz w:val="22"/>
                <w:szCs w:val="22"/>
              </w:rPr>
              <w:t>TPC-03</w:t>
            </w:r>
          </w:p>
          <w:p w:rsidR="00DF4FC3" w:rsidRDefault="00DF4FC3" w:rsidP="000303C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DF4FC3" w:rsidRPr="007D2CDE" w:rsidRDefault="00DF4FC3" w:rsidP="000303C4">
            <w:pPr>
              <w:rPr>
                <w:rFonts w:ascii="Arial" w:eastAsia="Arial Unicode MS" w:hAnsi="Arial" w:cs="Arial"/>
                <w:bCs/>
                <w:sz w:val="22"/>
                <w:szCs w:val="22"/>
              </w:rPr>
            </w:pPr>
            <w:r w:rsidRPr="007D2CDE">
              <w:rPr>
                <w:rFonts w:ascii="Arial" w:hAnsi="Arial" w:cs="Arial"/>
                <w:bCs/>
                <w:sz w:val="22"/>
                <w:szCs w:val="22"/>
              </w:rPr>
              <w:t xml:space="preserve">Verticalização da cadeia de distribuição de combustíveis 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DF4FC3" w:rsidP="007D2CDE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Manutenção do atual sistema regulatório </w:t>
            </w:r>
            <w:r w:rsidR="007D2CDE">
              <w:rPr>
                <w:rFonts w:ascii="Arial" w:hAnsi="Arial" w:cs="Arial"/>
                <w:sz w:val="22"/>
                <w:szCs w:val="22"/>
              </w:rPr>
              <w:t xml:space="preserve">com maior transparência na formação dos preços nas refinarias e maior fiscalização nas distribuidoras para evitar sonegação.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197006" w:rsidP="00197006">
            <w:pPr>
              <w:pStyle w:val="PargrafodaLista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6761B3">
              <w:rPr>
                <w:rFonts w:ascii="Arial" w:hAnsi="Arial" w:cs="Arial"/>
                <w:sz w:val="22"/>
                <w:szCs w:val="22"/>
              </w:rPr>
              <w:t xml:space="preserve">Regra clara e transparente da forma como a Petrobras vai precificar o combustível na sua refinaria. </w:t>
            </w:r>
            <w:proofErr w:type="spellStart"/>
            <w:r w:rsidRPr="006761B3">
              <w:rPr>
                <w:rFonts w:ascii="Arial" w:hAnsi="Arial" w:cs="Arial"/>
                <w:sz w:val="22"/>
                <w:szCs w:val="22"/>
              </w:rPr>
              <w:t>Ex</w:t>
            </w:r>
            <w:proofErr w:type="spellEnd"/>
            <w:r w:rsidRPr="006761B3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6761B3">
              <w:rPr>
                <w:rFonts w:ascii="Arial" w:hAnsi="Arial" w:cs="Arial"/>
                <w:sz w:val="22"/>
                <w:szCs w:val="22"/>
              </w:rPr>
              <w:t>brent</w:t>
            </w:r>
            <w:proofErr w:type="spellEnd"/>
            <w:r w:rsidRPr="006761B3">
              <w:rPr>
                <w:rFonts w:ascii="Arial" w:hAnsi="Arial" w:cs="Arial"/>
                <w:sz w:val="22"/>
                <w:szCs w:val="22"/>
              </w:rPr>
              <w:t xml:space="preserve"> x dólar / </w:t>
            </w:r>
            <w:proofErr w:type="spellStart"/>
            <w:r w:rsidRPr="006761B3">
              <w:rPr>
                <w:rFonts w:ascii="Arial" w:hAnsi="Arial" w:cs="Arial"/>
                <w:sz w:val="22"/>
                <w:szCs w:val="22"/>
              </w:rPr>
              <w:t>heating</w:t>
            </w:r>
            <w:proofErr w:type="spellEnd"/>
            <w:r w:rsidRPr="00676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761B3">
              <w:rPr>
                <w:rFonts w:ascii="Arial" w:hAnsi="Arial" w:cs="Arial"/>
                <w:sz w:val="22"/>
                <w:szCs w:val="22"/>
              </w:rPr>
              <w:t>oil</w:t>
            </w:r>
            <w:proofErr w:type="spellEnd"/>
            <w:r w:rsidRPr="006761B3">
              <w:rPr>
                <w:rFonts w:ascii="Arial" w:hAnsi="Arial" w:cs="Arial"/>
                <w:sz w:val="22"/>
                <w:szCs w:val="22"/>
              </w:rPr>
              <w:t xml:space="preserve"> x dólar ou outra formula, para que agentes importadores, ou outros refinadores de óleo possam investir no </w:t>
            </w:r>
            <w:r w:rsidRPr="006761B3">
              <w:rPr>
                <w:rFonts w:ascii="Arial" w:hAnsi="Arial" w:cs="Arial"/>
                <w:sz w:val="22"/>
                <w:szCs w:val="22"/>
              </w:rPr>
              <w:lastRenderedPageBreak/>
              <w:t>Brasil sem o risco de sofrerem um dumping da Petrobras. Havendo mais players na produção e importação de combustível, teríamos um custo mais baixo e com melhor qualidade com certeza.</w:t>
            </w:r>
          </w:p>
          <w:p w:rsidR="00197006" w:rsidRPr="006761B3" w:rsidRDefault="00197006" w:rsidP="00197006">
            <w:pPr>
              <w:pStyle w:val="PargrafodaLista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6761B3">
              <w:rPr>
                <w:rFonts w:ascii="Arial" w:hAnsi="Arial" w:cs="Arial"/>
                <w:sz w:val="22"/>
                <w:szCs w:val="22"/>
              </w:rPr>
              <w:t>Maior fiscalização contra as distribuidoras e demais agentes do setor que são fachada, sonegam e que funcionam com base em liminares da justiça.</w:t>
            </w:r>
          </w:p>
          <w:p w:rsidR="00197006" w:rsidRPr="006761B3" w:rsidRDefault="00197006" w:rsidP="00197006">
            <w:pPr>
              <w:pStyle w:val="PargrafodaLista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6761B3">
              <w:rPr>
                <w:rFonts w:ascii="Arial" w:hAnsi="Arial" w:cs="Arial"/>
                <w:sz w:val="22"/>
                <w:szCs w:val="22"/>
              </w:rPr>
              <w:t xml:space="preserve">RESPEITO aos investimentos já feitos por todos os agentes do segmento para atender </w:t>
            </w:r>
            <w:r w:rsidR="009A164E" w:rsidRPr="006761B3">
              <w:rPr>
                <w:rFonts w:ascii="Arial" w:hAnsi="Arial" w:cs="Arial"/>
                <w:sz w:val="22"/>
                <w:szCs w:val="22"/>
              </w:rPr>
              <w:t>a legislação</w:t>
            </w:r>
            <w:r w:rsidRPr="006761B3">
              <w:rPr>
                <w:rFonts w:ascii="Arial" w:hAnsi="Arial" w:cs="Arial"/>
                <w:sz w:val="22"/>
                <w:szCs w:val="22"/>
              </w:rPr>
              <w:t xml:space="preserve"> em vigor. Uma alteração destas regras traria uma desconfiança jurídica e financeira a todos os envolvidos. </w:t>
            </w:r>
            <w:proofErr w:type="spellStart"/>
            <w:r w:rsidRPr="006761B3">
              <w:rPr>
                <w:rFonts w:ascii="Arial" w:hAnsi="Arial" w:cs="Arial"/>
                <w:sz w:val="22"/>
                <w:szCs w:val="22"/>
              </w:rPr>
              <w:t>Ex</w:t>
            </w:r>
            <w:proofErr w:type="spellEnd"/>
            <w:r w:rsidRPr="006761B3">
              <w:rPr>
                <w:rFonts w:ascii="Arial" w:hAnsi="Arial" w:cs="Arial"/>
                <w:sz w:val="22"/>
                <w:szCs w:val="22"/>
              </w:rPr>
              <w:t>: imagine que você é uma distribuidora de grande porte, inve</w:t>
            </w:r>
            <w:r w:rsidR="009A164E">
              <w:rPr>
                <w:rFonts w:ascii="Arial" w:hAnsi="Arial" w:cs="Arial"/>
                <w:sz w:val="22"/>
                <w:szCs w:val="22"/>
              </w:rPr>
              <w:t xml:space="preserve">stiu R$ 100milhoes em uma grande </w:t>
            </w:r>
            <w:r w:rsidRPr="006761B3">
              <w:rPr>
                <w:rFonts w:ascii="Arial" w:hAnsi="Arial" w:cs="Arial"/>
                <w:sz w:val="22"/>
                <w:szCs w:val="22"/>
              </w:rPr>
              <w:t xml:space="preserve">base de armazenamento, estrategicamente localizada entre as usinas, refinaria e polo consumidor. Ao fazer este investimento você levou toda a legislação vigente em consideração. Após concluído o investimento de R$ 100milhoes, </w:t>
            </w:r>
            <w:r w:rsidR="006761B3" w:rsidRPr="006761B3">
              <w:rPr>
                <w:rFonts w:ascii="Arial" w:hAnsi="Arial" w:cs="Arial"/>
                <w:sz w:val="22"/>
                <w:szCs w:val="22"/>
              </w:rPr>
              <w:t>a legislação muda e o seu investimento que teria um retorno em 10 anos, dobra o tempo de retorno para 20 anos por uma mudança de legislação que tirou toda a sua vantagem logística que você investiu. Como fica esta distribuidora, que muitas vezes pegou recursos emprestados de bancos para fazer tal investimento e vê toda sua programação financeira indo por agua abaixo.</w:t>
            </w:r>
          </w:p>
        </w:tc>
      </w:tr>
      <w:tr w:rsidR="00C13A89" w:rsidTr="004A401B">
        <w:trPr>
          <w:trHeight w:val="607"/>
        </w:trPr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C13A89" w:rsidP="000F43D7">
            <w:pPr>
              <w:rPr>
                <w:rFonts w:ascii="Arial" w:hAnsi="Arial" w:cs="Arial"/>
                <w:sz w:val="22"/>
                <w:szCs w:val="22"/>
              </w:rPr>
            </w:pPr>
            <w:r w:rsidRPr="006761B3"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</w:p>
          <w:p w:rsidR="00C13A89" w:rsidRPr="006761B3" w:rsidRDefault="00C13A89" w:rsidP="000F43D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61B3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C13A89" w:rsidP="000F43D7">
            <w:pPr>
              <w:rPr>
                <w:rFonts w:ascii="Arial" w:hAnsi="Arial" w:cs="Arial"/>
                <w:sz w:val="22"/>
                <w:szCs w:val="22"/>
              </w:rPr>
            </w:pPr>
            <w:r w:rsidRPr="006761B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6761B3" w:rsidRDefault="00C13A89" w:rsidP="000F43D7">
            <w:pPr>
              <w:rPr>
                <w:rFonts w:ascii="Arial" w:hAnsi="Arial" w:cs="Arial"/>
                <w:sz w:val="22"/>
                <w:szCs w:val="22"/>
              </w:rPr>
            </w:pPr>
            <w:r w:rsidRPr="006761B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6285271"/>
    <w:multiLevelType w:val="hybridMultilevel"/>
    <w:tmpl w:val="5F3E6380"/>
    <w:lvl w:ilvl="0" w:tplc="DE561148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42C"/>
    <w:rsid w:val="0002343D"/>
    <w:rsid w:val="000303C4"/>
    <w:rsid w:val="00050F3F"/>
    <w:rsid w:val="000873C6"/>
    <w:rsid w:val="000C72BB"/>
    <w:rsid w:val="000C742C"/>
    <w:rsid w:val="000D4114"/>
    <w:rsid w:val="000F43D7"/>
    <w:rsid w:val="001003C5"/>
    <w:rsid w:val="00100689"/>
    <w:rsid w:val="0010535D"/>
    <w:rsid w:val="001312BC"/>
    <w:rsid w:val="00153BBA"/>
    <w:rsid w:val="00197006"/>
    <w:rsid w:val="001C5D32"/>
    <w:rsid w:val="001F74A0"/>
    <w:rsid w:val="002109D6"/>
    <w:rsid w:val="002555FE"/>
    <w:rsid w:val="00263F19"/>
    <w:rsid w:val="0026582D"/>
    <w:rsid w:val="002808DC"/>
    <w:rsid w:val="00287B41"/>
    <w:rsid w:val="00335A11"/>
    <w:rsid w:val="003B5698"/>
    <w:rsid w:val="004017EF"/>
    <w:rsid w:val="00452D91"/>
    <w:rsid w:val="004602FD"/>
    <w:rsid w:val="00482F43"/>
    <w:rsid w:val="00494A88"/>
    <w:rsid w:val="004A401B"/>
    <w:rsid w:val="004C5AA8"/>
    <w:rsid w:val="004E6BA1"/>
    <w:rsid w:val="00570C4C"/>
    <w:rsid w:val="00586DD3"/>
    <w:rsid w:val="005E2BE6"/>
    <w:rsid w:val="00627008"/>
    <w:rsid w:val="0063117B"/>
    <w:rsid w:val="006761B3"/>
    <w:rsid w:val="006C7878"/>
    <w:rsid w:val="006E69BF"/>
    <w:rsid w:val="007220DF"/>
    <w:rsid w:val="00735912"/>
    <w:rsid w:val="00754009"/>
    <w:rsid w:val="00762754"/>
    <w:rsid w:val="007D2CDE"/>
    <w:rsid w:val="00834A5C"/>
    <w:rsid w:val="0085243A"/>
    <w:rsid w:val="00852D24"/>
    <w:rsid w:val="008C0A6C"/>
    <w:rsid w:val="008C3D05"/>
    <w:rsid w:val="008E1D4F"/>
    <w:rsid w:val="0096568C"/>
    <w:rsid w:val="009A164E"/>
    <w:rsid w:val="009A7203"/>
    <w:rsid w:val="009B4815"/>
    <w:rsid w:val="009E5AD5"/>
    <w:rsid w:val="009F4F0E"/>
    <w:rsid w:val="00A225FB"/>
    <w:rsid w:val="00A267DE"/>
    <w:rsid w:val="00A346F7"/>
    <w:rsid w:val="00A8005F"/>
    <w:rsid w:val="00A94E85"/>
    <w:rsid w:val="00AB6177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C02634"/>
    <w:rsid w:val="00C13A89"/>
    <w:rsid w:val="00C74BAD"/>
    <w:rsid w:val="00C96874"/>
    <w:rsid w:val="00CB4E90"/>
    <w:rsid w:val="00CC5472"/>
    <w:rsid w:val="00CD7D9E"/>
    <w:rsid w:val="00CF2605"/>
    <w:rsid w:val="00CF534B"/>
    <w:rsid w:val="00D060D3"/>
    <w:rsid w:val="00D11D93"/>
    <w:rsid w:val="00DC0FFA"/>
    <w:rsid w:val="00DE64B2"/>
    <w:rsid w:val="00DF4FC3"/>
    <w:rsid w:val="00E06319"/>
    <w:rsid w:val="00E51418"/>
    <w:rsid w:val="00EA1B67"/>
    <w:rsid w:val="00ED7714"/>
    <w:rsid w:val="00F026F8"/>
    <w:rsid w:val="00F229D8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09A5B09"/>
  <w15:docId w15:val="{BC848153-FA90-4E2B-A463-B61D7384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197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793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Ricardo</cp:lastModifiedBy>
  <cp:revision>2</cp:revision>
  <cp:lastPrinted>2010-12-28T18:08:00Z</cp:lastPrinted>
  <dcterms:created xsi:type="dcterms:W3CDTF">2018-11-14T13:02:00Z</dcterms:created>
  <dcterms:modified xsi:type="dcterms:W3CDTF">2018-11-14T13:02:00Z</dcterms:modified>
</cp:coreProperties>
</file>